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C13FF" w14:textId="77777777" w:rsidR="006B384E" w:rsidRDefault="006B384E" w:rsidP="00593632">
      <w:pPr>
        <w:spacing w:after="0" w:line="240" w:lineRule="auto"/>
        <w:rPr>
          <w:rFonts w:eastAsia="Times New Roman" w:cstheme="minorHAnsi"/>
          <w:b/>
          <w:bCs/>
          <w:color w:val="000000"/>
          <w:sz w:val="28"/>
          <w:szCs w:val="28"/>
          <w:lang w:eastAsia="es-CL"/>
        </w:rPr>
      </w:pPr>
    </w:p>
    <w:p w14:paraId="46CE4786" w14:textId="45DDE236" w:rsidR="008E71F2" w:rsidRPr="008E71F2" w:rsidRDefault="008E71F2" w:rsidP="00593632">
      <w:pPr>
        <w:spacing w:after="0" w:line="240" w:lineRule="auto"/>
        <w:jc w:val="center"/>
        <w:rPr>
          <w:rFonts w:eastAsia="Times New Roman" w:cstheme="minorHAnsi"/>
          <w:sz w:val="28"/>
          <w:szCs w:val="28"/>
          <w:lang w:eastAsia="es-CL"/>
        </w:rPr>
      </w:pPr>
      <w:r w:rsidRPr="008E71F2">
        <w:rPr>
          <w:rFonts w:eastAsia="Times New Roman" w:cstheme="minorHAnsi"/>
          <w:b/>
          <w:bCs/>
          <w:color w:val="000000"/>
          <w:sz w:val="28"/>
          <w:szCs w:val="28"/>
          <w:lang w:eastAsia="es-CL"/>
        </w:rPr>
        <w:t>COMUNICADO DE PRENSA</w:t>
      </w:r>
    </w:p>
    <w:p w14:paraId="729AAB81" w14:textId="77777777" w:rsidR="008E71F2" w:rsidRPr="008E71F2" w:rsidRDefault="008E71F2" w:rsidP="00593632">
      <w:pPr>
        <w:spacing w:after="0" w:line="240" w:lineRule="auto"/>
        <w:jc w:val="center"/>
        <w:rPr>
          <w:rFonts w:eastAsia="Times New Roman" w:cstheme="minorHAnsi"/>
          <w:sz w:val="28"/>
          <w:szCs w:val="28"/>
          <w:lang w:eastAsia="es-CL"/>
        </w:rPr>
      </w:pPr>
    </w:p>
    <w:p w14:paraId="32B26D2C" w14:textId="3F9B2FCA" w:rsidR="008E71F2" w:rsidRPr="00593632" w:rsidRDefault="008E71F2" w:rsidP="00593632">
      <w:pPr>
        <w:spacing w:after="0" w:line="240" w:lineRule="auto"/>
        <w:jc w:val="center"/>
        <w:rPr>
          <w:rFonts w:eastAsia="Times New Roman" w:cstheme="minorHAnsi"/>
          <w:sz w:val="32"/>
          <w:szCs w:val="32"/>
          <w:lang w:eastAsia="es-CL"/>
        </w:rPr>
      </w:pPr>
      <w:r w:rsidRPr="00593632">
        <w:rPr>
          <w:rFonts w:eastAsia="Times New Roman" w:cstheme="minorHAnsi"/>
          <w:b/>
          <w:bCs/>
          <w:color w:val="000000"/>
          <w:sz w:val="32"/>
          <w:szCs w:val="32"/>
          <w:lang w:eastAsia="es-CL"/>
        </w:rPr>
        <w:t>Superintendencia de Salud: 6 Isapres podrán alzar el precio base de los planes de Salud</w:t>
      </w:r>
    </w:p>
    <w:p w14:paraId="02130DD3" w14:textId="77777777" w:rsidR="008E71F2" w:rsidRPr="008E71F2" w:rsidRDefault="008E71F2" w:rsidP="008E71F2">
      <w:pPr>
        <w:spacing w:after="0" w:line="240" w:lineRule="auto"/>
        <w:jc w:val="both"/>
        <w:rPr>
          <w:rFonts w:eastAsia="Times New Roman" w:cstheme="minorHAnsi"/>
          <w:sz w:val="24"/>
          <w:szCs w:val="24"/>
          <w:lang w:eastAsia="es-CL"/>
        </w:rPr>
      </w:pPr>
    </w:p>
    <w:p w14:paraId="73335F2B" w14:textId="425E11E0" w:rsidR="008E71F2" w:rsidRPr="00593632" w:rsidRDefault="008E71F2" w:rsidP="00593632">
      <w:pPr>
        <w:pStyle w:val="Prrafodelista"/>
        <w:numPr>
          <w:ilvl w:val="0"/>
          <w:numId w:val="1"/>
        </w:numPr>
        <w:spacing w:after="0" w:line="240" w:lineRule="auto"/>
        <w:jc w:val="both"/>
        <w:rPr>
          <w:rFonts w:eastAsia="Times New Roman" w:cstheme="minorHAnsi"/>
          <w:b/>
          <w:sz w:val="24"/>
          <w:szCs w:val="24"/>
          <w:lang w:eastAsia="es-CL"/>
        </w:rPr>
      </w:pPr>
      <w:r w:rsidRPr="00593632">
        <w:rPr>
          <w:rFonts w:eastAsia="Times New Roman" w:cstheme="minorHAnsi"/>
          <w:b/>
          <w:i/>
          <w:iCs/>
          <w:color w:val="000000"/>
          <w:sz w:val="24"/>
          <w:szCs w:val="24"/>
          <w:lang w:eastAsia="es-CL"/>
        </w:rPr>
        <w:t>De acuerdo con estimaciones preliminares, esto significa que, en promedio, las personas cotizantes del sistema tendrían que pagar un adicional mensual de hasta $3.784 por su contrato de salud.</w:t>
      </w:r>
    </w:p>
    <w:p w14:paraId="2DE08AA7" w14:textId="77777777" w:rsidR="00593632" w:rsidRPr="00593632" w:rsidRDefault="00593632" w:rsidP="00593632">
      <w:pPr>
        <w:pStyle w:val="Prrafodelista"/>
        <w:spacing w:after="0" w:line="240" w:lineRule="auto"/>
        <w:jc w:val="both"/>
        <w:rPr>
          <w:rFonts w:eastAsia="Times New Roman" w:cstheme="minorHAnsi"/>
          <w:b/>
          <w:sz w:val="24"/>
          <w:szCs w:val="24"/>
          <w:lang w:eastAsia="es-CL"/>
        </w:rPr>
      </w:pPr>
    </w:p>
    <w:p w14:paraId="14D6E8D6" w14:textId="77777777" w:rsidR="008E71F2" w:rsidRPr="008E71F2" w:rsidRDefault="008E71F2" w:rsidP="008E71F2">
      <w:pPr>
        <w:spacing w:after="0" w:line="240" w:lineRule="auto"/>
        <w:jc w:val="both"/>
        <w:rPr>
          <w:rFonts w:eastAsia="Times New Roman" w:cstheme="minorHAnsi"/>
          <w:sz w:val="24"/>
          <w:szCs w:val="24"/>
          <w:lang w:eastAsia="es-CL"/>
        </w:rPr>
      </w:pPr>
      <w:r w:rsidRPr="008E71F2">
        <w:rPr>
          <w:rFonts w:eastAsia="Times New Roman" w:cstheme="minorHAnsi"/>
          <w:color w:val="000000"/>
          <w:sz w:val="24"/>
          <w:szCs w:val="24"/>
          <w:lang w:eastAsia="es-CL"/>
        </w:rPr>
        <w:t>Este lunes 17 de marzo, desde la Superintendencia de Salud (SIS) se entregaron los detalles sobre el proceso de verificación de Adecuación de Precios Base (APB) de las Isapres, donde se informó que seis Isapres podrán reajustar el precio base de sus planes de salud en hasta un máximo de 3,7% (ICSA 2024). Estas son Colmena, Cruz Blanca (3,7%), Banmédica (3,7%), Consalud (3,6%) y Esencial (3,7%) y la otra es una Isapre cerrada (3,7%), Isalud (3,7%).</w:t>
      </w:r>
    </w:p>
    <w:p w14:paraId="13AF2918" w14:textId="77777777" w:rsidR="008E71F2" w:rsidRPr="008E71F2" w:rsidRDefault="008E71F2" w:rsidP="008E71F2">
      <w:pPr>
        <w:spacing w:after="0" w:line="240" w:lineRule="auto"/>
        <w:jc w:val="both"/>
        <w:rPr>
          <w:rFonts w:eastAsia="Times New Roman" w:cstheme="minorHAnsi"/>
          <w:sz w:val="24"/>
          <w:szCs w:val="24"/>
          <w:lang w:eastAsia="es-CL"/>
        </w:rPr>
      </w:pPr>
    </w:p>
    <w:p w14:paraId="41C83EE8" w14:textId="1F6E0A55" w:rsidR="008E71F2" w:rsidRPr="008E71F2" w:rsidRDefault="008E71F2" w:rsidP="008E71F2">
      <w:pPr>
        <w:spacing w:after="240" w:line="240" w:lineRule="auto"/>
        <w:jc w:val="both"/>
        <w:rPr>
          <w:rFonts w:eastAsia="Times New Roman" w:cstheme="minorHAnsi"/>
          <w:sz w:val="24"/>
          <w:szCs w:val="24"/>
          <w:lang w:eastAsia="es-CL"/>
        </w:rPr>
      </w:pPr>
      <w:r w:rsidRPr="008E71F2">
        <w:rPr>
          <w:rFonts w:eastAsia="Times New Roman" w:cstheme="minorHAnsi"/>
          <w:color w:val="000000"/>
          <w:sz w:val="24"/>
          <w:szCs w:val="24"/>
          <w:lang w:eastAsia="es-CL"/>
        </w:rPr>
        <w:t>En el proceso APB 2025, los valores comunicados por las Isapres coinciden con los verificados por la SIS, con excepción de Consalud, que propuso un alza 0,1 puntos porcentuales menor al verificado por la SIS.</w:t>
      </w:r>
    </w:p>
    <w:p w14:paraId="3A22252C" w14:textId="77777777" w:rsidR="008E71F2" w:rsidRPr="008E71F2" w:rsidRDefault="008E71F2" w:rsidP="008E71F2">
      <w:pPr>
        <w:spacing w:after="240" w:line="240" w:lineRule="auto"/>
        <w:jc w:val="both"/>
        <w:rPr>
          <w:rFonts w:eastAsia="Times New Roman" w:cstheme="minorHAnsi"/>
          <w:sz w:val="24"/>
          <w:szCs w:val="24"/>
          <w:lang w:eastAsia="es-CL"/>
        </w:rPr>
      </w:pPr>
      <w:r w:rsidRPr="008E71F2">
        <w:rPr>
          <w:rFonts w:eastAsia="Times New Roman" w:cstheme="minorHAnsi"/>
          <w:color w:val="000000"/>
          <w:sz w:val="24"/>
          <w:szCs w:val="24"/>
          <w:lang w:eastAsia="es-CL"/>
        </w:rPr>
        <w:t>De acuerdo con estimaciones preliminares, esto significa que, en promedio, las personas cotizantes del sistema tendrían que pagar un adicional mensual de hasta $3.784 por su contrato de salud.</w:t>
      </w:r>
    </w:p>
    <w:p w14:paraId="4AF8C91F" w14:textId="77777777" w:rsidR="008E71F2" w:rsidRPr="008E71F2" w:rsidRDefault="008E71F2" w:rsidP="008E71F2">
      <w:pPr>
        <w:spacing w:after="0" w:line="240" w:lineRule="auto"/>
        <w:jc w:val="both"/>
        <w:rPr>
          <w:rFonts w:eastAsia="Times New Roman" w:cstheme="minorHAnsi"/>
          <w:sz w:val="24"/>
          <w:szCs w:val="24"/>
          <w:lang w:eastAsia="es-CL"/>
        </w:rPr>
      </w:pPr>
      <w:r w:rsidRPr="008E71F2">
        <w:rPr>
          <w:rFonts w:eastAsia="Times New Roman" w:cstheme="minorHAnsi"/>
          <w:color w:val="000000"/>
          <w:sz w:val="24"/>
          <w:szCs w:val="24"/>
          <w:lang w:eastAsia="es-CL"/>
        </w:rPr>
        <w:t>“La verificación es un proceso que permite determinar si el alza informado por las Isapres está justificado en los antecedentes entregados a la Superintendencia de Salud, que corresponden al cálculo de su variación de costos interanual”, señalaron desde la SIS.</w:t>
      </w:r>
    </w:p>
    <w:p w14:paraId="454896AF" w14:textId="77777777" w:rsidR="008E71F2" w:rsidRPr="008E71F2" w:rsidRDefault="008E71F2" w:rsidP="008E71F2">
      <w:pPr>
        <w:spacing w:after="0" w:line="240" w:lineRule="auto"/>
        <w:jc w:val="both"/>
        <w:rPr>
          <w:rFonts w:eastAsia="Times New Roman" w:cstheme="minorHAnsi"/>
          <w:sz w:val="24"/>
          <w:szCs w:val="24"/>
          <w:lang w:eastAsia="es-CL"/>
        </w:rPr>
      </w:pPr>
    </w:p>
    <w:p w14:paraId="0CC98B0C" w14:textId="70DF492A" w:rsidR="008E71F2" w:rsidRPr="008E71F2" w:rsidRDefault="008E71F2" w:rsidP="008E71F2">
      <w:pPr>
        <w:spacing w:after="0" w:line="240" w:lineRule="auto"/>
        <w:jc w:val="both"/>
        <w:rPr>
          <w:rFonts w:eastAsia="Times New Roman" w:cstheme="minorHAnsi"/>
          <w:sz w:val="24"/>
          <w:szCs w:val="24"/>
          <w:lang w:eastAsia="es-CL"/>
        </w:rPr>
      </w:pPr>
      <w:r w:rsidRPr="008E71F2">
        <w:rPr>
          <w:rFonts w:eastAsia="Times New Roman" w:cstheme="minorHAnsi"/>
          <w:color w:val="000000"/>
          <w:sz w:val="24"/>
          <w:szCs w:val="24"/>
          <w:lang w:eastAsia="es-CL"/>
        </w:rPr>
        <w:t xml:space="preserve">La entidad fiscalizadora, también recordó que este año la entrada en vigencia del Alza Precio Base, se postergó por única vez para </w:t>
      </w:r>
      <w:r w:rsidRPr="00593632">
        <w:rPr>
          <w:rFonts w:eastAsia="Times New Roman" w:cstheme="minorHAnsi"/>
          <w:b/>
          <w:color w:val="000000"/>
          <w:sz w:val="24"/>
          <w:szCs w:val="24"/>
          <w:lang w:eastAsia="es-CL"/>
        </w:rPr>
        <w:t>el mes septiembre de 2025</w:t>
      </w:r>
      <w:r w:rsidRPr="008E71F2">
        <w:rPr>
          <w:rFonts w:eastAsia="Times New Roman" w:cstheme="minorHAnsi"/>
          <w:color w:val="000000"/>
          <w:sz w:val="24"/>
          <w:szCs w:val="24"/>
          <w:lang w:eastAsia="es-CL"/>
        </w:rPr>
        <w:t>, debido a la aprobación de la indicación 95 aprobada en la Ley N°21.647, de reajustes al sector público.</w:t>
      </w:r>
    </w:p>
    <w:p w14:paraId="2AE80C2D" w14:textId="77777777" w:rsidR="008E71F2" w:rsidRPr="008E71F2" w:rsidRDefault="008E71F2" w:rsidP="008E71F2">
      <w:pPr>
        <w:spacing w:after="0" w:line="240" w:lineRule="auto"/>
        <w:jc w:val="both"/>
        <w:rPr>
          <w:rFonts w:eastAsia="Times New Roman" w:cstheme="minorHAnsi"/>
          <w:sz w:val="24"/>
          <w:szCs w:val="24"/>
          <w:lang w:eastAsia="es-CL"/>
        </w:rPr>
      </w:pPr>
    </w:p>
    <w:p w14:paraId="2327D265" w14:textId="1ACB7E37" w:rsidR="008E71F2" w:rsidRPr="008E71F2" w:rsidRDefault="008E71F2" w:rsidP="008E71F2">
      <w:pPr>
        <w:spacing w:after="240" w:line="240" w:lineRule="auto"/>
        <w:jc w:val="both"/>
        <w:rPr>
          <w:rFonts w:eastAsia="Times New Roman" w:cstheme="minorHAnsi"/>
          <w:sz w:val="24"/>
          <w:szCs w:val="24"/>
          <w:lang w:eastAsia="es-CL"/>
        </w:rPr>
      </w:pPr>
      <w:r w:rsidRPr="008E71F2">
        <w:rPr>
          <w:rFonts w:eastAsia="Times New Roman" w:cstheme="minorHAnsi"/>
          <w:color w:val="000000"/>
          <w:sz w:val="24"/>
          <w:szCs w:val="24"/>
          <w:lang w:eastAsia="es-CL"/>
        </w:rPr>
        <w:t>Sobre las otras cuatro isapres, a la fecha dos de ellas, Nueva Masvida (abierta) y Cruz del Norte (cerrada) no participaron del proceso. La primera, porque no cumple con los porcentajes mínimos del Examen de Medicina Preventiva exigidos en la normativa vigente para adecuar sus precios y, además su variación de costos operacionales fue negativa -0,3 por lo que no puede alzar el precio base.</w:t>
      </w:r>
    </w:p>
    <w:p w14:paraId="49BF416F" w14:textId="47725643" w:rsidR="008E71F2" w:rsidRPr="008E71F2" w:rsidRDefault="008E71F2" w:rsidP="008E71F2">
      <w:pPr>
        <w:spacing w:after="240" w:line="240" w:lineRule="auto"/>
        <w:jc w:val="both"/>
        <w:rPr>
          <w:rFonts w:eastAsia="Times New Roman" w:cstheme="minorHAnsi"/>
          <w:sz w:val="24"/>
          <w:szCs w:val="24"/>
          <w:lang w:eastAsia="es-CL"/>
        </w:rPr>
      </w:pPr>
      <w:r w:rsidRPr="008E71F2">
        <w:rPr>
          <w:rFonts w:eastAsia="Times New Roman" w:cstheme="minorHAnsi"/>
          <w:color w:val="000000"/>
          <w:sz w:val="24"/>
          <w:szCs w:val="24"/>
          <w:lang w:eastAsia="es-CL"/>
        </w:rPr>
        <w:t>La segunda, porque no tiene planes individuales -solo grupales- además de no cumplir con los porcentajes mínimos exigidos en la normativa vigente para adecuar sus precios base.</w:t>
      </w:r>
    </w:p>
    <w:p w14:paraId="68A6561B" w14:textId="77777777" w:rsidR="006B384E" w:rsidRDefault="006B384E" w:rsidP="008E71F2">
      <w:pPr>
        <w:spacing w:after="0" w:line="240" w:lineRule="auto"/>
        <w:jc w:val="both"/>
        <w:rPr>
          <w:rFonts w:eastAsia="Times New Roman" w:cstheme="minorHAnsi"/>
          <w:color w:val="000000"/>
          <w:sz w:val="24"/>
          <w:szCs w:val="24"/>
          <w:lang w:eastAsia="es-CL"/>
        </w:rPr>
      </w:pPr>
    </w:p>
    <w:p w14:paraId="623B6998" w14:textId="77777777" w:rsidR="00593632" w:rsidRDefault="008E71F2" w:rsidP="00593632">
      <w:pPr>
        <w:spacing w:after="0" w:line="240" w:lineRule="auto"/>
        <w:jc w:val="both"/>
        <w:rPr>
          <w:rFonts w:eastAsia="Times New Roman" w:cstheme="minorHAnsi"/>
          <w:sz w:val="24"/>
          <w:szCs w:val="24"/>
          <w:lang w:eastAsia="es-CL"/>
        </w:rPr>
      </w:pPr>
      <w:r w:rsidRPr="008E71F2">
        <w:rPr>
          <w:rFonts w:eastAsia="Times New Roman" w:cstheme="minorHAnsi"/>
          <w:color w:val="000000"/>
          <w:sz w:val="24"/>
          <w:szCs w:val="24"/>
          <w:lang w:eastAsia="es-CL"/>
        </w:rPr>
        <w:lastRenderedPageBreak/>
        <w:t>Respecto al resto de las aseguradoras que sí participaron, en el caso de Vida Tres (abierta) s</w:t>
      </w:r>
      <w:r w:rsidR="00593632">
        <w:rPr>
          <w:rFonts w:eastAsia="Times New Roman" w:cstheme="minorHAnsi"/>
          <w:color w:val="000000"/>
          <w:sz w:val="24"/>
          <w:szCs w:val="24"/>
          <w:lang w:eastAsia="es-CL"/>
        </w:rPr>
        <w:t>us porcentajes de variación de c</w:t>
      </w:r>
      <w:r w:rsidRPr="008E71F2">
        <w:rPr>
          <w:rFonts w:eastAsia="Times New Roman" w:cstheme="minorHAnsi"/>
          <w:color w:val="000000"/>
          <w:sz w:val="24"/>
          <w:szCs w:val="24"/>
          <w:lang w:eastAsia="es-CL"/>
        </w:rPr>
        <w:t>osto operacional verificados fueron negativos -0,2%, por lo que no puede aumentar el precio.</w:t>
      </w:r>
      <w:r w:rsidR="00593632">
        <w:rPr>
          <w:rFonts w:eastAsia="Times New Roman" w:cstheme="minorHAnsi"/>
          <w:sz w:val="24"/>
          <w:szCs w:val="24"/>
          <w:lang w:eastAsia="es-CL"/>
        </w:rPr>
        <w:t xml:space="preserve"> </w:t>
      </w:r>
    </w:p>
    <w:p w14:paraId="14F1608C" w14:textId="77777777" w:rsidR="00593632" w:rsidRDefault="00593632" w:rsidP="00593632">
      <w:pPr>
        <w:spacing w:after="0" w:line="240" w:lineRule="auto"/>
        <w:jc w:val="both"/>
        <w:rPr>
          <w:rFonts w:eastAsia="Times New Roman" w:cstheme="minorHAnsi"/>
          <w:sz w:val="24"/>
          <w:szCs w:val="24"/>
          <w:lang w:eastAsia="es-CL"/>
        </w:rPr>
      </w:pPr>
    </w:p>
    <w:p w14:paraId="57D68E78" w14:textId="1C4EC53C" w:rsidR="008E71F2" w:rsidRPr="008E71F2" w:rsidRDefault="008E71F2" w:rsidP="00593632">
      <w:pPr>
        <w:spacing w:after="0" w:line="240" w:lineRule="auto"/>
        <w:jc w:val="both"/>
        <w:rPr>
          <w:rFonts w:eastAsia="Times New Roman" w:cstheme="minorHAnsi"/>
          <w:sz w:val="24"/>
          <w:szCs w:val="24"/>
          <w:lang w:eastAsia="es-CL"/>
        </w:rPr>
      </w:pPr>
      <w:r w:rsidRPr="008E71F2">
        <w:rPr>
          <w:rFonts w:eastAsia="Times New Roman" w:cstheme="minorHAnsi"/>
          <w:color w:val="000000"/>
          <w:sz w:val="24"/>
          <w:szCs w:val="24"/>
          <w:lang w:eastAsia="es-CL"/>
        </w:rPr>
        <w:t>Misma situación ocurre con la Isapre Fundación (cerrada) participó del proceso, pero sus porcentajes de variación de costos operacionales verificados son negativos -0,5%.</w:t>
      </w:r>
    </w:p>
    <w:p w14:paraId="5D2466A3" w14:textId="77777777" w:rsidR="008E71F2" w:rsidRPr="008E71F2" w:rsidRDefault="008E71F2" w:rsidP="008E71F2">
      <w:pPr>
        <w:spacing w:before="240" w:after="240" w:line="240" w:lineRule="auto"/>
        <w:jc w:val="both"/>
        <w:rPr>
          <w:rFonts w:eastAsia="Times New Roman" w:cstheme="minorHAnsi"/>
          <w:sz w:val="24"/>
          <w:szCs w:val="24"/>
          <w:lang w:eastAsia="es-CL"/>
        </w:rPr>
      </w:pPr>
      <w:r w:rsidRPr="008E71F2">
        <w:rPr>
          <w:rFonts w:eastAsia="Times New Roman" w:cstheme="minorHAnsi"/>
          <w:color w:val="000000"/>
          <w:sz w:val="24"/>
          <w:szCs w:val="24"/>
          <w:lang w:eastAsia="es-CL"/>
        </w:rPr>
        <w:t xml:space="preserve">Si algún afiliado o afiliada, no está de acuerdo con el alza aplicada por su </w:t>
      </w:r>
      <w:proofErr w:type="spellStart"/>
      <w:r w:rsidRPr="008E71F2">
        <w:rPr>
          <w:rFonts w:eastAsia="Times New Roman" w:cstheme="minorHAnsi"/>
          <w:color w:val="000000"/>
          <w:sz w:val="24"/>
          <w:szCs w:val="24"/>
          <w:lang w:eastAsia="es-CL"/>
        </w:rPr>
        <w:t>isapre</w:t>
      </w:r>
      <w:proofErr w:type="spellEnd"/>
      <w:r w:rsidRPr="008E71F2">
        <w:rPr>
          <w:rFonts w:eastAsia="Times New Roman" w:cstheme="minorHAnsi"/>
          <w:color w:val="000000"/>
          <w:sz w:val="24"/>
          <w:szCs w:val="24"/>
          <w:lang w:eastAsia="es-CL"/>
        </w:rPr>
        <w:t>, tendrá plazo hasta el 31 de mayo de 2025 para solicitar a su aseguradora un cambio de plan, equivalente al precio base que tenía antes de ser aplicada el alza, poner término al contrato, suscribiendo una carta de desafiliación.</w:t>
      </w:r>
    </w:p>
    <w:p w14:paraId="5B26AC33" w14:textId="73DBFA29" w:rsidR="008E71F2" w:rsidRPr="008E71F2" w:rsidRDefault="008E71F2" w:rsidP="00593632">
      <w:pPr>
        <w:spacing w:before="240" w:after="240" w:line="240" w:lineRule="auto"/>
        <w:jc w:val="both"/>
        <w:rPr>
          <w:rFonts w:eastAsia="Times New Roman" w:cstheme="minorHAnsi"/>
          <w:sz w:val="24"/>
          <w:szCs w:val="24"/>
          <w:lang w:eastAsia="es-CL"/>
        </w:rPr>
      </w:pPr>
      <w:r w:rsidRPr="008E71F2">
        <w:rPr>
          <w:rFonts w:eastAsia="Times New Roman" w:cstheme="minorHAnsi"/>
          <w:color w:val="000000"/>
          <w:sz w:val="24"/>
          <w:szCs w:val="24"/>
          <w:lang w:eastAsia="es-CL"/>
        </w:rPr>
        <w:t xml:space="preserve">Además, las y los cotizantes pueden ingresar un reclamo en la Superintendencia de Salud si consideran que no corresponde el alza de precio informada, ya sea porque no le llegó la comunicación que informaba el alza, su contrato de salud tiene menos de un año de vigencia </w:t>
      </w:r>
      <w:r w:rsidR="00593632">
        <w:rPr>
          <w:rFonts w:eastAsia="Times New Roman" w:cstheme="minorHAnsi"/>
          <w:color w:val="000000"/>
          <w:sz w:val="24"/>
          <w:szCs w:val="24"/>
          <w:lang w:eastAsia="es-CL"/>
        </w:rPr>
        <w:t xml:space="preserve">al 1 de junio de </w:t>
      </w:r>
      <w:r w:rsidRPr="008E71F2">
        <w:rPr>
          <w:rFonts w:eastAsia="Times New Roman" w:cstheme="minorHAnsi"/>
          <w:color w:val="000000"/>
          <w:sz w:val="24"/>
          <w:szCs w:val="24"/>
          <w:lang w:eastAsia="es-CL"/>
        </w:rPr>
        <w:t>2025, el porcentaje de alza que se le comunicó o aplicó fue mayor al permitido por el ICSA u otra causal que considere relevante.</w:t>
      </w:r>
    </w:p>
    <w:p w14:paraId="75A90381" w14:textId="27FCA843" w:rsidR="008E71F2" w:rsidRDefault="008E71F2" w:rsidP="008E71F2">
      <w:pPr>
        <w:spacing w:after="0" w:line="240" w:lineRule="auto"/>
        <w:jc w:val="both"/>
        <w:rPr>
          <w:rFonts w:eastAsia="Times New Roman" w:cstheme="minorHAnsi"/>
          <w:color w:val="000000"/>
          <w:sz w:val="24"/>
          <w:szCs w:val="24"/>
          <w:lang w:eastAsia="es-CL"/>
        </w:rPr>
      </w:pPr>
      <w:r w:rsidRPr="008E71F2">
        <w:rPr>
          <w:rFonts w:eastAsia="Times New Roman" w:cstheme="minorHAnsi"/>
          <w:color w:val="000000"/>
          <w:sz w:val="24"/>
          <w:szCs w:val="24"/>
          <w:lang w:eastAsia="es-CL"/>
        </w:rPr>
        <w:t>En la tabla a continuación se puede ver el desglose de lo que presentaron las Isapres frente al cálculo de la Superintendencia, y el resultado final de las alzas en los precios base. En este proceso, “prima el valor calculado por la Superintendencia en la verificación</w:t>
      </w:r>
      <w:r w:rsidR="00E404D6">
        <w:rPr>
          <w:rFonts w:eastAsia="Times New Roman" w:cstheme="minorHAnsi"/>
          <w:color w:val="000000"/>
          <w:sz w:val="24"/>
          <w:szCs w:val="24"/>
          <w:lang w:eastAsia="es-CL"/>
        </w:rPr>
        <w:t>”</w:t>
      </w:r>
      <w:r w:rsidRPr="008E71F2">
        <w:rPr>
          <w:rFonts w:eastAsia="Times New Roman" w:cstheme="minorHAnsi"/>
          <w:color w:val="000000"/>
          <w:sz w:val="24"/>
          <w:szCs w:val="24"/>
          <w:lang w:eastAsia="es-CL"/>
        </w:rPr>
        <w:t>, informaron desde la SIS.</w:t>
      </w:r>
    </w:p>
    <w:p w14:paraId="2CBDA15B" w14:textId="1907B922" w:rsidR="006B384E" w:rsidRDefault="006B384E" w:rsidP="008E71F2">
      <w:pPr>
        <w:spacing w:after="0" w:line="240" w:lineRule="auto"/>
        <w:jc w:val="both"/>
        <w:rPr>
          <w:rFonts w:eastAsia="Times New Roman" w:cstheme="minorHAnsi"/>
          <w:sz w:val="24"/>
          <w:szCs w:val="24"/>
          <w:lang w:eastAsia="es-CL"/>
        </w:rPr>
      </w:pPr>
    </w:p>
    <w:p w14:paraId="1FE5D606" w14:textId="4F507494" w:rsidR="006B384E" w:rsidRDefault="006B384E" w:rsidP="008E71F2">
      <w:pPr>
        <w:spacing w:after="0" w:line="240" w:lineRule="auto"/>
        <w:jc w:val="both"/>
        <w:rPr>
          <w:rFonts w:eastAsia="Times New Roman" w:cstheme="minorHAnsi"/>
          <w:sz w:val="24"/>
          <w:szCs w:val="24"/>
          <w:lang w:eastAsia="es-CL"/>
        </w:rPr>
      </w:pPr>
    </w:p>
    <w:p w14:paraId="5C953EC9" w14:textId="2D74D556" w:rsidR="006B384E" w:rsidRDefault="00593632" w:rsidP="008E71F2">
      <w:pPr>
        <w:spacing w:after="0" w:line="240" w:lineRule="auto"/>
        <w:jc w:val="both"/>
        <w:rPr>
          <w:rFonts w:eastAsia="Times New Roman" w:cstheme="minorHAnsi"/>
          <w:sz w:val="24"/>
          <w:szCs w:val="24"/>
          <w:lang w:eastAsia="es-CL"/>
        </w:rPr>
      </w:pPr>
      <w:r>
        <w:rPr>
          <w:rFonts w:eastAsia="Times New Roman" w:cstheme="minorHAnsi"/>
          <w:noProof/>
          <w:sz w:val="24"/>
          <w:szCs w:val="24"/>
          <w:lang w:eastAsia="es-CL"/>
        </w:rPr>
        <w:drawing>
          <wp:inline distT="0" distB="0" distL="0" distR="0" wp14:anchorId="76290F52" wp14:editId="151CE226">
            <wp:extent cx="5790088" cy="3365500"/>
            <wp:effectExtent l="0" t="0" r="127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a Proceso Adecuación Precio Base 2025 y Verificación SIS.jpg"/>
                    <pic:cNvPicPr/>
                  </pic:nvPicPr>
                  <pic:blipFill>
                    <a:blip r:embed="rId10">
                      <a:extLst>
                        <a:ext uri="{28A0092B-C50C-407E-A947-70E740481C1C}">
                          <a14:useLocalDpi xmlns:a14="http://schemas.microsoft.com/office/drawing/2010/main" val="0"/>
                        </a:ext>
                      </a:extLst>
                    </a:blip>
                    <a:stretch>
                      <a:fillRect/>
                    </a:stretch>
                  </pic:blipFill>
                  <pic:spPr>
                    <a:xfrm>
                      <a:off x="0" y="0"/>
                      <a:ext cx="5824426" cy="3385459"/>
                    </a:xfrm>
                    <a:prstGeom prst="rect">
                      <a:avLst/>
                    </a:prstGeom>
                  </pic:spPr>
                </pic:pic>
              </a:graphicData>
            </a:graphic>
          </wp:inline>
        </w:drawing>
      </w:r>
      <w:bookmarkStart w:id="0" w:name="_GoBack"/>
      <w:bookmarkEnd w:id="0"/>
    </w:p>
    <w:p w14:paraId="7E341C94" w14:textId="30396189" w:rsidR="006B384E" w:rsidRDefault="006B384E" w:rsidP="008E71F2">
      <w:pPr>
        <w:spacing w:after="0" w:line="240" w:lineRule="auto"/>
        <w:jc w:val="both"/>
        <w:rPr>
          <w:rFonts w:eastAsia="Times New Roman" w:cstheme="minorHAnsi"/>
          <w:sz w:val="24"/>
          <w:szCs w:val="24"/>
          <w:lang w:eastAsia="es-CL"/>
        </w:rPr>
      </w:pPr>
    </w:p>
    <w:p w14:paraId="245FA3B5" w14:textId="04180F8E" w:rsidR="006B384E" w:rsidRDefault="006B384E" w:rsidP="008E71F2">
      <w:pPr>
        <w:spacing w:after="0" w:line="240" w:lineRule="auto"/>
        <w:jc w:val="both"/>
        <w:rPr>
          <w:rFonts w:eastAsia="Times New Roman" w:cstheme="minorHAnsi"/>
          <w:sz w:val="24"/>
          <w:szCs w:val="24"/>
          <w:lang w:eastAsia="es-CL"/>
        </w:rPr>
      </w:pPr>
    </w:p>
    <w:p w14:paraId="44A148CD" w14:textId="78984919" w:rsidR="000E3D8D" w:rsidRPr="008E71F2" w:rsidRDefault="000E3D8D" w:rsidP="008E71F2">
      <w:pPr>
        <w:jc w:val="both"/>
        <w:rPr>
          <w:rFonts w:cstheme="minorHAnsi"/>
          <w:sz w:val="28"/>
          <w:szCs w:val="28"/>
        </w:rPr>
      </w:pPr>
    </w:p>
    <w:sectPr w:rsidR="000E3D8D" w:rsidRPr="008E71F2">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A3F8D" w14:textId="77777777" w:rsidR="008D02CE" w:rsidRDefault="008D02CE" w:rsidP="006B384E">
      <w:pPr>
        <w:spacing w:after="0" w:line="240" w:lineRule="auto"/>
      </w:pPr>
      <w:r>
        <w:separator/>
      </w:r>
    </w:p>
  </w:endnote>
  <w:endnote w:type="continuationSeparator" w:id="0">
    <w:p w14:paraId="2FD190D0" w14:textId="77777777" w:rsidR="008D02CE" w:rsidRDefault="008D02CE" w:rsidP="006B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25F98" w14:textId="77777777" w:rsidR="008D02CE" w:rsidRDefault="008D02CE" w:rsidP="006B384E">
      <w:pPr>
        <w:spacing w:after="0" w:line="240" w:lineRule="auto"/>
      </w:pPr>
      <w:r>
        <w:separator/>
      </w:r>
    </w:p>
  </w:footnote>
  <w:footnote w:type="continuationSeparator" w:id="0">
    <w:p w14:paraId="6A8DBD9E" w14:textId="77777777" w:rsidR="008D02CE" w:rsidRDefault="008D02CE" w:rsidP="006B3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D99B" w14:textId="0C3D5D0C" w:rsidR="006B384E" w:rsidRDefault="006B384E" w:rsidP="006B384E">
    <w:pPr>
      <w:pStyle w:val="Encabezado"/>
    </w:pPr>
    <w:r>
      <w:rPr>
        <w:noProof/>
        <w:lang w:eastAsia="es-CL"/>
      </w:rPr>
      <w:drawing>
        <wp:inline distT="0" distB="0" distL="0" distR="0" wp14:anchorId="29275D24" wp14:editId="5CB13CD0">
          <wp:extent cx="1568450" cy="4211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uper2020.png"/>
                  <pic:cNvPicPr/>
                </pic:nvPicPr>
                <pic:blipFill>
                  <a:blip r:embed="rId1">
                    <a:extLst>
                      <a:ext uri="{28A0092B-C50C-407E-A947-70E740481C1C}">
                        <a14:useLocalDpi xmlns:a14="http://schemas.microsoft.com/office/drawing/2010/main" val="0"/>
                      </a:ext>
                    </a:extLst>
                  </a:blip>
                  <a:stretch>
                    <a:fillRect/>
                  </a:stretch>
                </pic:blipFill>
                <pic:spPr>
                  <a:xfrm>
                    <a:off x="0" y="0"/>
                    <a:ext cx="1603499" cy="430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65C05"/>
    <w:multiLevelType w:val="hybridMultilevel"/>
    <w:tmpl w:val="D83CFE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C9"/>
    <w:rsid w:val="000E3D8D"/>
    <w:rsid w:val="004C5BD1"/>
    <w:rsid w:val="00593632"/>
    <w:rsid w:val="006B384E"/>
    <w:rsid w:val="006C5F12"/>
    <w:rsid w:val="00711FC9"/>
    <w:rsid w:val="0087482E"/>
    <w:rsid w:val="008D02CE"/>
    <w:rsid w:val="008E71F2"/>
    <w:rsid w:val="00E404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42D06"/>
  <w15:chartTrackingRefBased/>
  <w15:docId w15:val="{DF14E3D7-6D31-4CC1-84F2-1F4CA391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482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6B38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84E"/>
  </w:style>
  <w:style w:type="paragraph" w:styleId="Piedepgina">
    <w:name w:val="footer"/>
    <w:basedOn w:val="Normal"/>
    <w:link w:val="PiedepginaCar"/>
    <w:uiPriority w:val="99"/>
    <w:unhideWhenUsed/>
    <w:rsid w:val="006B38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84E"/>
  </w:style>
  <w:style w:type="paragraph" w:styleId="Prrafodelista">
    <w:name w:val="List Paragraph"/>
    <w:basedOn w:val="Normal"/>
    <w:uiPriority w:val="34"/>
    <w:qFormat/>
    <w:rsid w:val="00593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48977">
      <w:bodyDiv w:val="1"/>
      <w:marLeft w:val="0"/>
      <w:marRight w:val="0"/>
      <w:marTop w:val="0"/>
      <w:marBottom w:val="0"/>
      <w:divBdr>
        <w:top w:val="none" w:sz="0" w:space="0" w:color="auto"/>
        <w:left w:val="none" w:sz="0" w:space="0" w:color="auto"/>
        <w:bottom w:val="none" w:sz="0" w:space="0" w:color="auto"/>
        <w:right w:val="none" w:sz="0" w:space="0" w:color="auto"/>
      </w:divBdr>
    </w:div>
    <w:div w:id="1658875921">
      <w:bodyDiv w:val="1"/>
      <w:marLeft w:val="0"/>
      <w:marRight w:val="0"/>
      <w:marTop w:val="0"/>
      <w:marBottom w:val="0"/>
      <w:divBdr>
        <w:top w:val="none" w:sz="0" w:space="0" w:color="auto"/>
        <w:left w:val="none" w:sz="0" w:space="0" w:color="auto"/>
        <w:bottom w:val="none" w:sz="0" w:space="0" w:color="auto"/>
        <w:right w:val="none" w:sz="0" w:space="0" w:color="auto"/>
      </w:divBdr>
    </w:div>
    <w:div w:id="190552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6D5DD99FB88A44E82B6042B366859B4" ma:contentTypeVersion="11" ma:contentTypeDescription="Crear nuevo documento." ma:contentTypeScope="" ma:versionID="26d21169e62af77aeae7a0131272bc5f">
  <xsd:schema xmlns:xsd="http://www.w3.org/2001/XMLSchema" xmlns:xs="http://www.w3.org/2001/XMLSchema" xmlns:p="http://schemas.microsoft.com/office/2006/metadata/properties" xmlns:ns3="4d56a563-d8a7-4fae-867e-47b787373d7e" targetNamespace="http://schemas.microsoft.com/office/2006/metadata/properties" ma:root="true" ma:fieldsID="6754e5205b9894c2ff28caa25edf7e6c" ns3:_="">
    <xsd:import namespace="4d56a563-d8a7-4fae-867e-47b787373d7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6a563-d8a7-4fae-867e-47b787373d7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EDFAF-368A-4CB4-B5DD-64B47EBDAD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60558-0F88-4D36-B219-04C40105D374}">
  <ds:schemaRefs>
    <ds:schemaRef ds:uri="http://schemas.microsoft.com/sharepoint/v3/contenttype/forms"/>
  </ds:schemaRefs>
</ds:datastoreItem>
</file>

<file path=customXml/itemProps3.xml><?xml version="1.0" encoding="utf-8"?>
<ds:datastoreItem xmlns:ds="http://schemas.openxmlformats.org/officeDocument/2006/customXml" ds:itemID="{5BC06169-FFC3-471D-A47B-46A820475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6a563-d8a7-4fae-867e-47b787373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Andrea Rojas Osorio</dc:creator>
  <cp:keywords/>
  <dc:description/>
  <cp:lastModifiedBy>Ximena Gutierrez Zuniga</cp:lastModifiedBy>
  <cp:revision>2</cp:revision>
  <cp:lastPrinted>2025-03-17T14:05:00Z</cp:lastPrinted>
  <dcterms:created xsi:type="dcterms:W3CDTF">2025-03-17T16:30:00Z</dcterms:created>
  <dcterms:modified xsi:type="dcterms:W3CDTF">2025-03-17T16:30:00Z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0x01010086D5DD99FB88A44E82B6042B366859B4</vt:lpwstr>
  </property>
</Properties>
</file>